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"/>
          <w:sz w:val="2"/>
          <w:szCs w:val="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"/>
          <w:sz w:val="2"/>
          <w:szCs w:val="2"/>
          <w:u w:val="none"/>
          <w:shd w:fill="auto" w:val="clear"/>
          <w:vertAlign w:val="baseline"/>
        </w:rPr>
      </w:r>
    </w:p>
    <w:tbl>
      <w:tblPr>
        <w:tblStyle w:val="Table1"/>
        <w:tblW w:w="9825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0"/>
        <w:gridCol w:w="1755"/>
        <w:gridCol w:w="450"/>
        <w:gridCol w:w="1905"/>
        <w:gridCol w:w="5235"/>
      </w:tblGrid>
      <w:tr>
        <w:trPr>
          <w:trHeight w:val="144" w:hRule="atLeast"/>
        </w:trPr>
        <w:tc>
          <w:tcPr>
            <w:tcW w:w="4590" w:type="dxa"/>
            <w:gridSpan w:val="4"/>
            <w:tcBorders/>
            <w:vAlign w:val="center"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</w:rPr>
            </w:pPr>
            <w:r>
              <w:rPr/>
              <w:drawing>
                <wp:inline distT="0" distB="0" distL="0" distR="0">
                  <wp:extent cx="651510" cy="1075055"/>
                  <wp:effectExtent l="0" t="0" r="0" b="0"/>
                  <wp:docPr id="1" name="image1.png" descr="C:\Users\Орг1\Desktop\герб\герб_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Орг1\Desktop\герб\герб_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107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tcBorders/>
            <w:vAlign w:val="center"/>
          </w:tcPr>
          <w:p>
            <w:pPr>
              <w:pStyle w:val="normal1"/>
              <w:jc w:val="center"/>
              <w:rPr/>
            </w:pPr>
            <w:r>
              <w:rPr/>
            </w:r>
          </w:p>
        </w:tc>
      </w:tr>
      <w:tr>
        <w:trPr>
          <w:trHeight w:val="63" w:hRule="atLeast"/>
        </w:trPr>
        <w:tc>
          <w:tcPr>
            <w:tcW w:w="4590" w:type="dxa"/>
            <w:gridSpan w:val="4"/>
            <w:tcBorders/>
            <w:vAlign w:val="center"/>
          </w:tcPr>
          <w:p>
            <w:pPr>
              <w:pStyle w:val="normal1"/>
              <w:rPr>
                <w:rFonts w:ascii="Times New Roman" w:hAnsi="Times New Roman" w:eastAsia="Times New Roman" w:cs="Times New Roman"/>
                <w:b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b/>
                <w:sz w:val="10"/>
                <w:szCs w:val="10"/>
              </w:rPr>
            </w:r>
          </w:p>
        </w:tc>
        <w:tc>
          <w:tcPr>
            <w:tcW w:w="5235" w:type="dxa"/>
            <w:tcBorders/>
            <w:vAlign w:val="center"/>
          </w:tcPr>
          <w:p>
            <w:pPr>
              <w:pStyle w:val="normal1"/>
              <w:rPr>
                <w:rFonts w:ascii="Times New Roman" w:hAnsi="Times New Roman" w:eastAsia="Times New Roman" w:cs="Times New Roman"/>
                <w:b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b/>
                <w:sz w:val="10"/>
                <w:szCs w:val="10"/>
              </w:rPr>
            </w:r>
          </w:p>
        </w:tc>
      </w:tr>
      <w:tr>
        <w:trPr>
          <w:trHeight w:val="600" w:hRule="atLeast"/>
        </w:trPr>
        <w:tc>
          <w:tcPr>
            <w:tcW w:w="4590" w:type="dxa"/>
            <w:gridSpan w:val="4"/>
            <w:tcBorders/>
            <w:vAlign w:val="center"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Кемеровская область - Кузбасс</w:t>
            </w:r>
          </w:p>
          <w:p>
            <w:pPr>
              <w:pStyle w:val="normal1"/>
              <w:spacing w:lineRule="auto" w:line="27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Новокузнецкий городской округ</w:t>
            </w:r>
          </w:p>
          <w:p>
            <w:pPr>
              <w:pStyle w:val="normal1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УПРАВЛЕНИЕ ЭКОНОМИЧЕСКОГО РАЗВИТИЯ, ПРОМЫШЛЕННОСТИ И ИНВЕСТИЦИЙ АДМИНИСТРАЦИИ ГОРОДА НОВОКУЗНЕЦКА</w:t>
            </w:r>
          </w:p>
          <w:p>
            <w:pPr>
              <w:pStyle w:val="normal1"/>
              <w:ind w:firstLine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Кирова ул., д.71, Новокузнецк, 654080</w:t>
            </w:r>
          </w:p>
          <w:p>
            <w:pPr>
              <w:pStyle w:val="normal1"/>
              <w:ind w:firstLine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тел. (3843)32-15-83, тел./факс (3843)32-16-51</w:t>
            </w:r>
          </w:p>
          <w:p>
            <w:pPr>
              <w:pStyle w:val="normal1"/>
              <w:ind w:firstLine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телетайп 277207 «Иней»</w:t>
            </w:r>
          </w:p>
          <w:p>
            <w:pPr>
              <w:pStyle w:val="normal1"/>
              <w:ind w:firstLine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E-mail: priem533@admnkz.info</w:t>
            </w:r>
          </w:p>
        </w:tc>
        <w:tc>
          <w:tcPr>
            <w:tcW w:w="5235" w:type="dxa"/>
            <w:vMerge w:val="restart"/>
            <w:tcBorders/>
          </w:tcPr>
          <w:p>
            <w:pPr>
              <w:pStyle w:val="normal1"/>
              <w:spacing w:lineRule="auto" w:line="240" w:before="0" w:after="20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Начальнику управления потребительского рынка и развития предпринимательства администрации города Новокузнецка</w:t>
              <w:br/>
              <w:t>Шиллер Я.В.</w:t>
            </w:r>
          </w:p>
        </w:tc>
      </w:tr>
      <w:tr>
        <w:trPr>
          <w:trHeight w:val="335" w:hRule="atLeast"/>
        </w:trPr>
        <w:tc>
          <w:tcPr>
            <w:tcW w:w="480" w:type="dxa"/>
            <w:tcBorders/>
            <w:shd w:fill="auto" w:val="clear"/>
            <w:vAlign w:val="bottom"/>
          </w:tcPr>
          <w:p>
            <w:pPr>
              <w:pStyle w:val="normal1"/>
              <w:ind w:right="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от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14.10.2025</w:t>
            </w:r>
          </w:p>
        </w:tc>
        <w:tc>
          <w:tcPr>
            <w:tcW w:w="450" w:type="dxa"/>
            <w:tcBorders/>
            <w:shd w:fill="auto" w:val="clear"/>
            <w:vAlign w:val="bottom"/>
          </w:tcPr>
          <w:p>
            <w:pPr>
              <w:pStyle w:val="normal1"/>
              <w:ind w:right="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5235" w:type="dxa"/>
            <w:vMerge w:val="continue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80" w:type="dxa"/>
            <w:tcBorders/>
            <w:vAlign w:val="bottom"/>
          </w:tcPr>
          <w:p>
            <w:pPr>
              <w:pStyle w:val="normal1"/>
              <w:ind w:right="1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а</w:t>
            </w: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1"/>
              <w:ind w:right="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235" w:type="dxa"/>
            <w:vMerge w:val="continue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 w:before="200" w:after="20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Заключение об оценке регулирующего воздействия</w:t>
      </w:r>
    </w:p>
    <w:p>
      <w:pPr>
        <w:pStyle w:val="normal1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Управление экономического развития, промышленности и инвестиций администрации города Новокузнецка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1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(наименование уполномоченного органа)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соответствии с решением Новокузнецкого городского Совета народных депутатов от 24.12.2024 №18/108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деятельности» (далее – Порядок проведения оценки регулирующего воздействия) 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3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2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(нормативный правовой акт, устанавливающий порядок проведения оценки регулирующего воздействия)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рассмотрело проект постановления администрации города Новокузнецка «О внесении изменений в постановление администрации города Новокузнецка от 18.04.2014 №61 «Об утверждении схем размещения нестационарных торговых объектов на территории Новокузнецкого городского округа» (далее – проект акта),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4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3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(наименование проекта муниципального нормативного правового акта)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подготовленный и направленный для подготовки настоящего заключения управлением потребительского рынка и развития предпринимательства администрации города Новокузнецка (далее – разработчик),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5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4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(наименование органа-разработчика, направившего проект акта)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и сообщает следующее.</w:t>
      </w:r>
    </w:p>
    <w:p>
      <w:pPr>
        <w:pStyle w:val="normal1"/>
        <w:widowControl w:val="false"/>
        <w:spacing w:lineRule="auto" w:line="240" w:before="200" w:after="0"/>
        <w:ind w:firstLine="72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Степень регулирующего воздействия положений, содержащихся в подготовленном проекте акта, средняя.</w:t>
      </w:r>
    </w:p>
    <w:p>
      <w:pPr>
        <w:pStyle w:val="normal1"/>
        <w:widowControl w:val="false"/>
        <w:spacing w:lineRule="auto" w:line="240" w:before="0" w:after="0"/>
        <w:ind w:firstLine="72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Разработчиком проведены публичные обсуждения проекта акта и сводного отчета в сроки с 06.08.2025 по 26.08.2025.</w:t>
      </w:r>
    </w:p>
    <w:p>
      <w:pPr>
        <w:pStyle w:val="normal1"/>
        <w:widowControl w:val="false"/>
        <w:spacing w:lineRule="auto" w:line="240" w:before="0" w:after="0"/>
        <w:ind w:firstLine="72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управлением экономического развития, промышленности и инвестиций администрации города Новокузнецка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6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5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(наименование уполномоченного органа)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сделаны следующие выводы:</w:t>
      </w:r>
    </w:p>
    <w:p>
      <w:pPr>
        <w:pStyle w:val="normal1"/>
        <w:widowControl w:val="false"/>
        <w:spacing w:lineRule="auto" w:line="240" w:before="0" w:after="0"/>
        <w:ind w:firstLine="72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Разработчиком проекта акта соблюдены все процедуры, предусмотренные Порядком проведения оценки регулирующего воздействия, и на основании представленного разработчиком сводного отчета решение проблемы предложенным проектом акта способом регулирования признано достаточно обоснованным.</w:t>
      </w:r>
    </w:p>
    <w:p>
      <w:pPr>
        <w:pStyle w:val="normal1"/>
        <w:widowControl w:val="false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7" name="Фигур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6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</w:t>
      </w:r>
      <w:r>
        <w:rPr>
          <w:rFonts w:eastAsia="Times New Roman" w:cs="Times New Roman" w:ascii="Times New Roman" w:hAnsi="Times New Roman"/>
          <w:sz w:val="26"/>
          <w:szCs w:val="26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Новокузнецкого городского округа, в проекте акта отсутствуют.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8" name="Фигур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7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(вывод о наличии либо отсутствии положений, вводящих избыточные обязанности, запреты ограничения для субъектов предпринимательской и иной экономической деятельности или/и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Новокузнецкого городского округа)</w:t>
      </w:r>
    </w:p>
    <w:p>
      <w:pPr>
        <w:pStyle w:val="normal1"/>
        <w:widowControl w:val="false"/>
        <w:spacing w:lineRule="auto" w:line="240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Предлагаемое регулирование не оказывает влияния на конкурентную среду и носит нормативный характер. Новые функции, полномочия, обязанности и права органов местного самоуправления или сведения об их изменении, а также порядок их реализации предлагаемым проектом акта не устанавливаются. Реализация положений проекта  не потребует дополнительных расходов средств бюджета Новокузнецкого городского округа и не повлечет поступлений в бюджет Новокузнецкого городского округа. Риски решения проблемы предложенным способом регулирования и риски негативных последствий не выявлены.</w:t>
      </w:r>
    </w:p>
    <w:p>
      <w:pPr>
        <w:pStyle w:val="normal1"/>
        <w:widowControl w:val="false"/>
        <w:spacing w:lineRule="auto" w:line="240"/>
        <w:ind w:hanging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19495" cy="19050"/>
                <wp:effectExtent l="0" t="0" r="0" b="0"/>
                <wp:docPr id="9" name="Фигур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Фигура8" path="m0,0l-2147483645,0l-2147483645,-2147483646l0,-2147483646xe" fillcolor="#a0a0a0" stroked="f" o:allowincell="f" style="position:absolute;margin-left:0pt;margin-top:-1.55pt;width:481.8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widowControl w:val="false"/>
        <w:spacing w:lineRule="auto" w:line="240"/>
        <w:ind w:hanging="0" w:left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  <w:t>(обоснование выводов, а также иные замечания и предложения)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1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Style w:val="Table2"/>
        <w:tblW w:w="95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45"/>
        <w:gridCol w:w="2384"/>
        <w:gridCol w:w="2356"/>
      </w:tblGrid>
      <w:tr>
        <w:trPr/>
        <w:tc>
          <w:tcPr>
            <w:tcW w:w="4845" w:type="dxa"/>
            <w:tcBorders/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sdt>
              <w:sdtPr>
                <w:tag w:val="goog_rdk_0"/>
                <w:id w:val="-65783265"/>
                <w:lock w:val="contentLocked"/>
                <w:text/>
              </w:sdtPr>
              <w:sdtContent>
                <w:r>
                  <w:rPr>
                    <w:rFonts w:eastAsia="Times New Roman" w:cs="Times New Roman" w:ascii="Times New Roman" w:hAnsi="Times New Roman"/>
                    <w:sz w:val="26"/>
                    <w:szCs w:val="26"/>
                  </w:rPr>
                </w:r>
                <w:r>
                  <w:rPr>
                    <w:rFonts w:eastAsia="Times New Roman" w:cs="Times New Roman" w:ascii="Times New Roman" w:hAnsi="Times New Roman"/>
                    <w:sz w:val="26"/>
                    <w:szCs w:val="26"/>
                  </w:rPr>
                  <w:t>Начальник управления экономического развития, промышленности и инвестиций администрации города Новокузнецка</w:t>
                </w:r>
              </w:sdtContent>
            </w:sdt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Бажина Елена Игоревна</w:t>
            </w:r>
          </w:p>
        </w:tc>
        <w:tc>
          <w:tcPr>
            <w:tcW w:w="2384" w:type="dxa"/>
            <w:tcBorders/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56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84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ind w:hanging="0" w:lef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vertAlign w:val="superscript"/>
              </w:rPr>
              <w:t>(должность, ФИО руководителя)</w:t>
            </w:r>
          </w:p>
        </w:tc>
        <w:tc>
          <w:tcPr>
            <w:tcW w:w="2384" w:type="dxa"/>
            <w:tcBorders/>
            <w:shd w:fill="auto" w:val="clear"/>
          </w:tcPr>
          <w:p>
            <w:pPr>
              <w:pStyle w:val="normal1"/>
              <w:widowControl w:val="false"/>
              <w:ind w:hanging="0" w:lef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vertAlign w:val="superscript"/>
              </w:rPr>
            </w:r>
          </w:p>
        </w:tc>
        <w:tc>
          <w:tcPr>
            <w:tcW w:w="235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vertAlign w:val="superscript"/>
              </w:rPr>
              <w:t>(подпись)</w:t>
            </w:r>
          </w:p>
        </w:tc>
      </w:tr>
    </w:tbl>
    <w:p>
      <w:pPr>
        <w:pStyle w:val="normal1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6"/>
          <w:szCs w:val="26"/>
          <w:vertAlign w:val="superscript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567" w:top="1134" w:footer="709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choolBook">
    <w:charset w:val="01"/>
    <w:family w:val="auto"/>
    <w:pitch w:val="default"/>
  </w:font>
  <w:font w:name="PT Astra Serif">
    <w:charset w:val="01"/>
    <w:family w:val="roman"/>
    <w:pitch w:val="default"/>
  </w:font>
  <w:font w:name="Georgia">
    <w:charset w:val="01"/>
    <w:family w:val="auto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jc w:val="both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choolBook" w:hAnsi="SchoolBook" w:eastAsia="SchoolBook" w:cs="SchoolBook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SchoolBook" w:hAnsi="SchoolBook" w:eastAsia="SchoolBook" w:cs="SchoolBook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SchoolBook" w:hAnsi="SchoolBook" w:eastAsia="SchoolBook" w:cs="SchoolBook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SchoolBook" w:hAnsi="SchoolBook" w:eastAsia="SchoolBook" w:cs="SchoolBook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KsBFrxdOrR8oOgjSkJdlyjF1yg==">CgMxLjAaHwoBMBIaChgICVIUChJ0YWJsZS5yY3l6dmtuZTBkeGk4AHIhMXlHWXlJWEFPczFCWENpOWgwU1Q3ZVBZdXltTDZvOGRh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LibreOffice/24.8.4.2$Linux_X86_64 LibreOffice_project/480$Build-2</Application>
  <AppVersion>15.0000</AppVersion>
  <Pages>2</Pages>
  <Words>454</Words>
  <Characters>3809</Characters>
  <CharactersWithSpaces>4242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2025-10-15T13:02:40Z</cp:lastPrinted>
  <dcterms:modified xsi:type="dcterms:W3CDTF">2025-10-16T15:35:01Z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